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832AD7" w:rsidRDefault="002453CF" w:rsidP="00832AD7">
      <w:pPr>
        <w:spacing w:after="0" w:line="240" w:lineRule="auto"/>
        <w:rPr>
          <w:rFonts w:cs="David"/>
          <w:b/>
          <w:bCs/>
          <w:sz w:val="16"/>
          <w:szCs w:val="16"/>
          <w:rtl/>
        </w:rPr>
      </w:pPr>
      <w:bookmarkStart w:id="0" w:name="_GoBack"/>
      <w:bookmarkEnd w:id="0"/>
      <w:r w:rsidRPr="006C3B1F">
        <w:rPr>
          <w:rFonts w:cs="David" w:hint="cs"/>
          <w:b/>
          <w:bCs/>
          <w:sz w:val="24"/>
          <w:szCs w:val="24"/>
          <w:rtl/>
        </w:rPr>
        <w:t xml:space="preserve">                                 </w:t>
      </w:r>
      <w:r w:rsidR="006B7B96" w:rsidRPr="006C3B1F">
        <w:rPr>
          <w:rFonts w:cs="David" w:hint="cs"/>
          <w:b/>
          <w:bCs/>
          <w:sz w:val="24"/>
          <w:szCs w:val="24"/>
          <w:rtl/>
        </w:rPr>
        <w:t xml:space="preserve">           </w:t>
      </w:r>
      <w:r w:rsidR="00631744">
        <w:rPr>
          <w:rFonts w:cs="David" w:hint="cs"/>
          <w:b/>
          <w:bCs/>
          <w:sz w:val="24"/>
          <w:szCs w:val="24"/>
          <w:rtl/>
        </w:rPr>
        <w:t xml:space="preserve">           </w:t>
      </w:r>
      <w:r w:rsidR="006C3B1F">
        <w:rPr>
          <w:rFonts w:cs="David" w:hint="cs"/>
          <w:b/>
          <w:bCs/>
          <w:sz w:val="24"/>
          <w:szCs w:val="24"/>
          <w:rtl/>
        </w:rPr>
        <w:t xml:space="preserve">   </w:t>
      </w:r>
      <w:r w:rsidRPr="006C3B1F">
        <w:rPr>
          <w:rFonts w:cs="David" w:hint="cs"/>
          <w:b/>
          <w:bCs/>
          <w:sz w:val="24"/>
          <w:szCs w:val="24"/>
          <w:rtl/>
        </w:rPr>
        <w:t xml:space="preserve">  </w:t>
      </w:r>
      <w:r w:rsidR="001D42A7">
        <w:rPr>
          <w:rFonts w:hint="cs"/>
          <w:b/>
          <w:bCs/>
          <w:rtl/>
        </w:rPr>
        <w:t xml:space="preserve">  </w:t>
      </w:r>
    </w:p>
    <w:p w:rsidR="00F35239" w:rsidRDefault="00F35239" w:rsidP="00832AD7">
      <w:pPr>
        <w:spacing w:after="0" w:line="240" w:lineRule="auto"/>
        <w:jc w:val="right"/>
        <w:rPr>
          <w:rFonts w:ascii="Times New Roman" w:eastAsia="Times New Roman" w:hAnsi="Times New Roman" w:cs="David"/>
          <w:sz w:val="16"/>
          <w:szCs w:val="16"/>
          <w:rtl/>
        </w:rPr>
      </w:pPr>
      <w:r>
        <w:rPr>
          <w:rFonts w:ascii="Times New Roman" w:eastAsia="Times New Roman" w:hAnsi="Times New Roman" w:cs="David" w:hint="eastAsia"/>
          <w:sz w:val="16"/>
          <w:szCs w:val="16"/>
          <w:rtl/>
        </w:rPr>
        <w:t>‏</w:t>
      </w:r>
      <w:r>
        <w:rPr>
          <w:rFonts w:ascii="Times New Roman" w:eastAsia="Times New Roman" w:hAnsi="Times New Roman" w:cs="David"/>
          <w:sz w:val="16"/>
          <w:szCs w:val="16"/>
          <w:rtl/>
        </w:rPr>
        <w:t>20 יוני 2024</w:t>
      </w:r>
    </w:p>
    <w:p w:rsidR="00F35239" w:rsidRDefault="00F35239" w:rsidP="00832AD7">
      <w:pPr>
        <w:spacing w:after="0" w:line="240" w:lineRule="auto"/>
        <w:jc w:val="right"/>
        <w:rPr>
          <w:rFonts w:ascii="Times New Roman" w:eastAsia="Times New Roman" w:hAnsi="Times New Roman" w:cs="David"/>
          <w:sz w:val="16"/>
          <w:szCs w:val="16"/>
          <w:rtl/>
        </w:rPr>
      </w:pPr>
      <w:r>
        <w:rPr>
          <w:rFonts w:ascii="Times New Roman" w:eastAsia="Times New Roman" w:hAnsi="Times New Roman" w:cs="David" w:hint="eastAsia"/>
          <w:sz w:val="16"/>
          <w:szCs w:val="16"/>
          <w:rtl/>
        </w:rPr>
        <w:t>‏י</w:t>
      </w:r>
      <w:r>
        <w:rPr>
          <w:rFonts w:ascii="Times New Roman" w:eastAsia="Times New Roman" w:hAnsi="Times New Roman" w:cs="David"/>
          <w:sz w:val="16"/>
          <w:szCs w:val="16"/>
          <w:rtl/>
        </w:rPr>
        <w:t>"ד סיון תשפ"ד</w:t>
      </w:r>
    </w:p>
    <w:p w:rsidR="00983123" w:rsidRPr="00983123" w:rsidRDefault="00983123" w:rsidP="00832AD7">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4700-1039-2024-004151</w:t>
      </w:r>
      <w:r w:rsidRPr="00832AD7">
        <w:rPr>
          <w:rFonts w:ascii="Times New Roman" w:eastAsia="Times New Roman" w:hAnsi="Times New Roman" w:cs="David" w:hint="cs"/>
          <w:sz w:val="16"/>
          <w:szCs w:val="16"/>
          <w:rtl/>
        </w:rPr>
        <w:fldChar w:fldCharType="end"/>
      </w:r>
    </w:p>
    <w:p w:rsidR="00515986" w:rsidRPr="00515986" w:rsidRDefault="00515986" w:rsidP="000C4D75">
      <w:pPr>
        <w:tabs>
          <w:tab w:val="num" w:pos="1080"/>
        </w:tabs>
        <w:spacing w:after="0" w:line="276" w:lineRule="auto"/>
        <w:jc w:val="both"/>
        <w:rPr>
          <w:rFonts w:ascii="Arial" w:eastAsia="Times New Roman" w:hAnsi="Arial" w:cs="David"/>
          <w:b/>
          <w:bCs/>
          <w:sz w:val="24"/>
          <w:szCs w:val="24"/>
          <w:rtl/>
        </w:rPr>
      </w:pPr>
    </w:p>
    <w:p w:rsidR="005B7202" w:rsidRPr="005B7202" w:rsidRDefault="00541C9E" w:rsidP="00F35239">
      <w:pPr>
        <w:spacing w:after="120" w:line="276" w:lineRule="auto"/>
        <w:jc w:val="center"/>
        <w:rPr>
          <w:rFonts w:ascii="FrankRuehl" w:hAnsi="FrankRuehl" w:cs="FrankRuehl"/>
          <w:b/>
          <w:bCs/>
          <w:color w:val="002060"/>
          <w:sz w:val="32"/>
          <w:szCs w:val="32"/>
          <w:u w:val="single"/>
          <w:rtl/>
        </w:rPr>
      </w:pPr>
      <w:r w:rsidRPr="005B7202">
        <w:rPr>
          <w:rFonts w:ascii="FrankRuehl" w:hAnsi="FrankRuehl" w:cs="FrankRuehl"/>
          <w:b/>
          <w:bCs/>
          <w:color w:val="002060"/>
          <w:sz w:val="32"/>
          <w:szCs w:val="32"/>
          <w:u w:val="single"/>
          <w:rtl/>
        </w:rPr>
        <w:t xml:space="preserve">תקציר </w:t>
      </w:r>
      <w:r w:rsidR="005B7202" w:rsidRPr="005B7202">
        <w:rPr>
          <w:rFonts w:ascii="FrankRuehl" w:hAnsi="FrankRuehl" w:cs="FrankRuehl" w:hint="cs"/>
          <w:b/>
          <w:bCs/>
          <w:color w:val="002060"/>
          <w:sz w:val="32"/>
          <w:szCs w:val="32"/>
          <w:u w:val="single"/>
          <w:rtl/>
        </w:rPr>
        <w:t xml:space="preserve">גזר-דין </w:t>
      </w:r>
      <w:r w:rsidR="005B7202" w:rsidRPr="005B7202">
        <w:rPr>
          <w:rFonts w:ascii="FrankRuehl" w:hAnsi="FrankRuehl" w:cs="FrankRuehl"/>
          <w:b/>
          <w:bCs/>
          <w:color w:val="002060"/>
          <w:sz w:val="32"/>
          <w:szCs w:val="32"/>
          <w:u w:val="single"/>
          <w:rtl/>
        </w:rPr>
        <w:t>ת"פ 20116-02-22</w:t>
      </w:r>
      <w:r w:rsidR="005B7202" w:rsidRPr="005B7202">
        <w:rPr>
          <w:rFonts w:ascii="FrankRuehl" w:hAnsi="FrankRuehl" w:cs="FrankRuehl" w:hint="cs"/>
          <w:b/>
          <w:bCs/>
          <w:color w:val="002060"/>
          <w:sz w:val="32"/>
          <w:szCs w:val="32"/>
          <w:u w:val="single"/>
          <w:rtl/>
        </w:rPr>
        <w:t xml:space="preserve">- </w:t>
      </w:r>
      <w:r w:rsidR="005B7202" w:rsidRPr="005B7202">
        <w:rPr>
          <w:rFonts w:ascii="FrankRuehl" w:hAnsi="FrankRuehl" w:cs="FrankRuehl"/>
          <w:b/>
          <w:bCs/>
          <w:color w:val="002060"/>
          <w:sz w:val="32"/>
          <w:szCs w:val="32"/>
          <w:u w:val="single"/>
          <w:rtl/>
        </w:rPr>
        <w:t xml:space="preserve">מדינת ישראל נגד לאית סלאמה </w:t>
      </w:r>
    </w:p>
    <w:p w:rsidR="00541C9E" w:rsidRDefault="005B7202" w:rsidP="00F35239">
      <w:pPr>
        <w:spacing w:after="120" w:line="276" w:lineRule="auto"/>
        <w:jc w:val="center"/>
        <w:rPr>
          <w:rFonts w:ascii="FrankRuehl" w:hAnsi="FrankRuehl" w:cs="FrankRuehl"/>
          <w:b/>
          <w:bCs/>
          <w:color w:val="002060"/>
          <w:sz w:val="32"/>
          <w:szCs w:val="32"/>
          <w:rtl/>
        </w:rPr>
      </w:pPr>
      <w:r>
        <w:rPr>
          <w:rFonts w:ascii="FrankRuehl" w:hAnsi="FrankRuehl" w:cs="FrankRuehl" w:hint="cs"/>
          <w:b/>
          <w:bCs/>
          <w:color w:val="002060"/>
          <w:sz w:val="32"/>
          <w:szCs w:val="32"/>
          <w:rtl/>
        </w:rPr>
        <w:t xml:space="preserve">ביהמ"ש המחוזי מרכז - לוד, </w:t>
      </w:r>
      <w:r w:rsidR="00541C9E" w:rsidRPr="000071E5">
        <w:rPr>
          <w:rFonts w:ascii="FrankRuehl" w:hAnsi="FrankRuehl" w:cs="FrankRuehl"/>
          <w:b/>
          <w:bCs/>
          <w:color w:val="002060"/>
          <w:sz w:val="32"/>
          <w:szCs w:val="32"/>
          <w:rtl/>
        </w:rPr>
        <w:t xml:space="preserve">השופטת </w:t>
      </w:r>
      <w:r>
        <w:rPr>
          <w:rFonts w:ascii="FrankRuehl" w:hAnsi="FrankRuehl" w:cs="FrankRuehl" w:hint="cs"/>
          <w:b/>
          <w:bCs/>
          <w:color w:val="002060"/>
          <w:sz w:val="32"/>
          <w:szCs w:val="32"/>
          <w:rtl/>
        </w:rPr>
        <w:t>דבורה עטר</w:t>
      </w:r>
    </w:p>
    <w:p w:rsidR="00912333" w:rsidRDefault="00912333" w:rsidP="00F35239">
      <w:pPr>
        <w:spacing w:after="0" w:line="276" w:lineRule="auto"/>
        <w:jc w:val="both"/>
        <w:rPr>
          <w:rFonts w:ascii="FrankRuehl" w:hAnsi="FrankRuehl" w:cs="FrankRuehl"/>
          <w:b/>
          <w:bCs/>
          <w:color w:val="002060"/>
          <w:sz w:val="32"/>
          <w:szCs w:val="32"/>
          <w:rtl/>
        </w:rPr>
      </w:pPr>
    </w:p>
    <w:p w:rsidR="000C4D6B" w:rsidRDefault="005B7202" w:rsidP="00056731">
      <w:pPr>
        <w:spacing w:after="0" w:line="360" w:lineRule="auto"/>
        <w:jc w:val="both"/>
        <w:rPr>
          <w:rFonts w:ascii="David" w:hAnsi="David" w:cs="David"/>
          <w:sz w:val="24"/>
          <w:szCs w:val="24"/>
          <w:rtl/>
        </w:rPr>
      </w:pPr>
      <w:r>
        <w:rPr>
          <w:rFonts w:ascii="David" w:hAnsi="David" w:cs="David"/>
          <w:sz w:val="24"/>
          <w:szCs w:val="24"/>
          <w:rtl/>
        </w:rPr>
        <w:t xml:space="preserve">ביהמ"ש המחוזי בלוד (כב' </w:t>
      </w:r>
      <w:proofErr w:type="spellStart"/>
      <w:r>
        <w:rPr>
          <w:rFonts w:ascii="David" w:hAnsi="David" w:cs="David"/>
          <w:sz w:val="24"/>
          <w:szCs w:val="24"/>
          <w:rtl/>
        </w:rPr>
        <w:t>הש</w:t>
      </w:r>
      <w:proofErr w:type="spellEnd"/>
      <w:r>
        <w:rPr>
          <w:rFonts w:ascii="David" w:hAnsi="David" w:cs="David" w:hint="cs"/>
          <w:sz w:val="24"/>
          <w:szCs w:val="24"/>
          <w:rtl/>
        </w:rPr>
        <w:t>'</w:t>
      </w:r>
      <w:r w:rsidRPr="00376759">
        <w:rPr>
          <w:rFonts w:ascii="David" w:hAnsi="David" w:cs="David"/>
          <w:sz w:val="24"/>
          <w:szCs w:val="24"/>
          <w:rtl/>
        </w:rPr>
        <w:t xml:space="preserve"> דבורה עטר) גזר היום את דינו של לאית סלאמה, אשר בעת עבודתו כמטפל במעון לחוסים בעלי מוגבלויות וצרכים מיוחדים התעלל ב-17 מהם ותקף אותם, במאות הזדמנויות שונות, במשך כחודשיים החל מיום 6.11.21. </w:t>
      </w:r>
    </w:p>
    <w:p w:rsidR="000C4D6B" w:rsidRPr="00912333" w:rsidRDefault="000C4D6B" w:rsidP="00056731">
      <w:pPr>
        <w:spacing w:after="0" w:line="360" w:lineRule="auto"/>
        <w:jc w:val="both"/>
        <w:rPr>
          <w:rFonts w:ascii="David" w:hAnsi="David" w:cs="David"/>
          <w:sz w:val="24"/>
          <w:szCs w:val="24"/>
        </w:rPr>
      </w:pPr>
      <w:r>
        <w:rPr>
          <w:rFonts w:ascii="David" w:hAnsi="David" w:cs="David" w:hint="cs"/>
          <w:sz w:val="24"/>
          <w:szCs w:val="24"/>
          <w:rtl/>
        </w:rPr>
        <w:t xml:space="preserve">הנאשם הודה בכתב אישום שתוקן במסגרת הסדר טיעון, על פיו הוסכם </w:t>
      </w:r>
      <w:r w:rsidRPr="00376759">
        <w:rPr>
          <w:rFonts w:ascii="David" w:hAnsi="David" w:cs="David"/>
          <w:sz w:val="24"/>
          <w:szCs w:val="24"/>
          <w:rtl/>
        </w:rPr>
        <w:t>בין הצדדים כי המאשימה תעתור להשית על הנאשם עונש ראוי של 15 שנות מאסר בפועל, מאסר על תנאי ופיצוי כולל בסך של 150,000 ₪ ואילו ההגנה תהא חופשיה בטיעוניה</w:t>
      </w:r>
      <w:r>
        <w:rPr>
          <w:rFonts w:ascii="David" w:hAnsi="David" w:cs="David" w:hint="cs"/>
          <w:sz w:val="24"/>
          <w:szCs w:val="24"/>
          <w:rtl/>
        </w:rPr>
        <w:t xml:space="preserve"> באשר לרכיב המאסר. </w:t>
      </w:r>
    </w:p>
    <w:p w:rsidR="00912333" w:rsidRDefault="005B7202" w:rsidP="00912333">
      <w:pPr>
        <w:spacing w:after="0" w:line="360" w:lineRule="auto"/>
        <w:jc w:val="both"/>
        <w:rPr>
          <w:rFonts w:ascii="David" w:hAnsi="David" w:cs="David"/>
          <w:b/>
          <w:bCs/>
          <w:sz w:val="24"/>
          <w:szCs w:val="24"/>
          <w:rtl/>
        </w:rPr>
      </w:pPr>
      <w:r w:rsidRPr="00376759">
        <w:rPr>
          <w:rFonts w:ascii="David" w:hAnsi="David" w:cs="David"/>
          <w:sz w:val="24"/>
          <w:szCs w:val="24"/>
          <w:rtl/>
        </w:rPr>
        <w:t>בגזר הדין הודגש כי</w:t>
      </w:r>
      <w:r w:rsidRPr="00376759">
        <w:rPr>
          <w:rFonts w:ascii="David" w:hAnsi="David" w:cs="David"/>
          <w:b/>
          <w:bCs/>
          <w:sz w:val="24"/>
          <w:szCs w:val="24"/>
          <w:rtl/>
        </w:rPr>
        <w:t xml:space="preserve"> </w:t>
      </w:r>
      <w:r w:rsidRPr="00376759">
        <w:rPr>
          <w:rFonts w:ascii="David" w:hAnsi="David" w:cs="David"/>
          <w:sz w:val="24"/>
          <w:szCs w:val="24"/>
          <w:rtl/>
        </w:rPr>
        <w:t xml:space="preserve">כתב האישום </w:t>
      </w:r>
      <w:r w:rsidR="000C4D6B">
        <w:rPr>
          <w:rFonts w:ascii="David" w:hAnsi="David" w:cs="David" w:hint="cs"/>
          <w:sz w:val="24"/>
          <w:szCs w:val="24"/>
          <w:rtl/>
        </w:rPr>
        <w:t xml:space="preserve">המתוקן </w:t>
      </w:r>
      <w:r w:rsidRPr="00376759">
        <w:rPr>
          <w:rFonts w:ascii="David" w:hAnsi="David" w:cs="David"/>
          <w:sz w:val="24"/>
          <w:szCs w:val="24"/>
          <w:rtl/>
        </w:rPr>
        <w:t xml:space="preserve">מגולל מאות מעשי תקיפה שפלים ואכזריים, שביצע הנאשם במהלך כחודשיים, בלא מורא, תחת עין המצלמה, בחוסים שהיו תחת השגחתו ובטיפולו, הן במהלך הטיפול השגרתי בהם והן בשעות הפנאי כשהם עסוקים בשלהם. זאת במטרה להטיל מרותו, להענישם או להפחידם ותוך ניצול פערי הכוחות בינו לבינם, כשהחוסים הם חסרי ישע וחסרי אונים ולעיתים כלל לא מודעים לזכויותיהם, ואף אין ביכולתם או בידיעתם להתלונן על סבלם ומצוקותיהם או להתגונן מפניו. </w:t>
      </w:r>
    </w:p>
    <w:p w:rsidR="00912333" w:rsidRDefault="005B7202" w:rsidP="00912333">
      <w:pPr>
        <w:spacing w:after="0" w:line="360" w:lineRule="auto"/>
        <w:jc w:val="both"/>
        <w:rPr>
          <w:rFonts w:ascii="David" w:hAnsi="David" w:cs="David"/>
          <w:sz w:val="24"/>
          <w:szCs w:val="24"/>
          <w:rtl/>
        </w:rPr>
      </w:pPr>
      <w:r w:rsidRPr="00376759">
        <w:rPr>
          <w:rFonts w:ascii="David" w:hAnsi="David" w:cs="David"/>
          <w:sz w:val="24"/>
          <w:szCs w:val="24"/>
          <w:rtl/>
        </w:rPr>
        <w:t xml:space="preserve">הנאשם הפך את חייהם של החוסים לסיוט מתמשך. בין היתר, הכה אותם נמרצות בראשם ובגופם, </w:t>
      </w:r>
      <w:proofErr w:type="spellStart"/>
      <w:r w:rsidRPr="00376759">
        <w:rPr>
          <w:rFonts w:ascii="David" w:hAnsi="David" w:cs="David"/>
          <w:sz w:val="24"/>
          <w:szCs w:val="24"/>
          <w:rtl/>
        </w:rPr>
        <w:t>הטיחם</w:t>
      </w:r>
      <w:proofErr w:type="spellEnd"/>
      <w:r w:rsidRPr="00376759">
        <w:rPr>
          <w:rFonts w:ascii="David" w:hAnsi="David" w:cs="David"/>
          <w:sz w:val="24"/>
          <w:szCs w:val="24"/>
          <w:rtl/>
        </w:rPr>
        <w:t xml:space="preserve"> בחוזקה למיטות, לספות ולקיר, הפליא בהם את מכותיו, סטר להם בפניהם, גרר אותם בכוח בבגדיהם, הכה בהם במוט של מגב ובחפצים שונים, נשך אותם, דרך על ראשם ברגליו, לפת את צווארם וחנק אותם תוך שהוא מקשה עליהם לזוז ולנשום, ירק עליהם, הצית אש בפני חוסים, בידם, ובצמוד לאיבר מינם, נגע ואחז באיבר מינם, כרך חבל סביב גופם וסביב צווארם והצליף באמצעותו, וחנק אותם תוך שהוא חוסם את איברי נשימתו. באחת ההזדמנויות הטיל הנאשם את מימיו על מיטת חוסה והשכיב אותו על המיטה הרטובה משתן. </w:t>
      </w:r>
    </w:p>
    <w:p w:rsidR="00056731" w:rsidRDefault="00056731" w:rsidP="00056731">
      <w:pPr>
        <w:spacing w:after="0" w:line="240" w:lineRule="auto"/>
        <w:jc w:val="both"/>
        <w:rPr>
          <w:rFonts w:ascii="David" w:hAnsi="David" w:cs="David"/>
          <w:sz w:val="24"/>
          <w:szCs w:val="24"/>
          <w:rtl/>
        </w:rPr>
      </w:pPr>
    </w:p>
    <w:p w:rsidR="000C4D6B" w:rsidRDefault="000C4D6B" w:rsidP="000C4D6B">
      <w:pPr>
        <w:spacing w:after="0" w:line="360" w:lineRule="auto"/>
        <w:jc w:val="both"/>
        <w:rPr>
          <w:rFonts w:ascii="David" w:hAnsi="David" w:cs="David"/>
          <w:sz w:val="24"/>
          <w:szCs w:val="24"/>
          <w:rtl/>
        </w:rPr>
      </w:pPr>
      <w:r>
        <w:rPr>
          <w:rFonts w:ascii="David" w:hAnsi="David" w:cs="David" w:hint="cs"/>
          <w:sz w:val="24"/>
          <w:szCs w:val="24"/>
          <w:rtl/>
        </w:rPr>
        <w:t xml:space="preserve">עוד הוטעם כי </w:t>
      </w:r>
      <w:r w:rsidRPr="00376759">
        <w:rPr>
          <w:rFonts w:ascii="David" w:hAnsi="David" w:cs="David"/>
          <w:sz w:val="24"/>
          <w:szCs w:val="24"/>
          <w:rtl/>
        </w:rPr>
        <w:t xml:space="preserve">טיפול בחוסים במסגרת חוץ ביתית הוא תחום מורכב ותובעני הדורש מטיבו ומטבעו הבעת חמלה, אנושיות, אמפתיה והכלה אינסופית על מנת לאפשר להם חיים ביתיים, נינוחים ומכובדים, ולבני משפחתם רוגע ובטחון כי יקיריהם מוגנים ומטופלים כראוי גם שלא במחיצתם. הנאשם מעל בתפקידו זה וגילה תת אנושיות בהתנהלותו, כשהתאכזר, התעלל, השפיל, לעג ורמס את כבודם. מעשיו הנלוזים של הנאשם ראויים לכל גינוי והוקעה, בחברה אנושית מתוקנת ואין ולא יכולה להיות להם כל הצדקה. </w:t>
      </w:r>
    </w:p>
    <w:p w:rsidR="00056731" w:rsidRDefault="00056731" w:rsidP="00056731">
      <w:pPr>
        <w:spacing w:after="0" w:line="240" w:lineRule="auto"/>
        <w:jc w:val="both"/>
        <w:rPr>
          <w:rFonts w:ascii="David" w:hAnsi="David" w:cs="David"/>
          <w:sz w:val="24"/>
          <w:szCs w:val="24"/>
          <w:rtl/>
        </w:rPr>
      </w:pPr>
    </w:p>
    <w:p w:rsidR="005B7202" w:rsidRDefault="005B7202" w:rsidP="000C4D6B">
      <w:pPr>
        <w:spacing w:after="0" w:line="360" w:lineRule="auto"/>
        <w:jc w:val="both"/>
        <w:rPr>
          <w:rFonts w:ascii="David" w:hAnsi="David" w:cs="David"/>
          <w:sz w:val="24"/>
          <w:szCs w:val="24"/>
          <w:rtl/>
        </w:rPr>
      </w:pPr>
      <w:r w:rsidRPr="00376759">
        <w:rPr>
          <w:rFonts w:ascii="David" w:hAnsi="David" w:cs="David"/>
          <w:sz w:val="24"/>
          <w:szCs w:val="24"/>
          <w:rtl/>
        </w:rPr>
        <w:t xml:space="preserve">החוסים, חסרי </w:t>
      </w:r>
      <w:r w:rsidR="000C4D6B">
        <w:rPr>
          <w:rFonts w:ascii="David" w:hAnsi="David" w:cs="David" w:hint="cs"/>
          <w:sz w:val="24"/>
          <w:szCs w:val="24"/>
          <w:rtl/>
        </w:rPr>
        <w:t>ה</w:t>
      </w:r>
      <w:r w:rsidRPr="00376759">
        <w:rPr>
          <w:rFonts w:ascii="David" w:hAnsi="David" w:cs="David"/>
          <w:sz w:val="24"/>
          <w:szCs w:val="24"/>
          <w:rtl/>
        </w:rPr>
        <w:t xml:space="preserve">ישע תלויים באופן מוחלט באחרים, לצורך מילוי צרכיהם הבסיסיים. הם נוצלו בקיצוניות ובאכזריות במקום שאמור היה להיות עבורם בית ומחסה מבלי יכולת לזעוק את זעקתם לעזרה או להתגונן ונאלצו להתמודד עם הצפה בלתי פוסקת של כאב, בלבול ופחד. השלכות הפגיעה באות לידי ביטוי בהתנהגותם, במצבם הבריאותי, בשינוי משמעותי במצב רוחם, בשמחת החיים </w:t>
      </w:r>
      <w:r w:rsidRPr="00376759">
        <w:rPr>
          <w:rFonts w:ascii="David" w:hAnsi="David" w:cs="David"/>
          <w:sz w:val="24"/>
          <w:szCs w:val="24"/>
          <w:rtl/>
        </w:rPr>
        <w:lastRenderedPageBreak/>
        <w:t xml:space="preserve">שדעכה, בפחד מפני זרים, ובקושי לקחת חלק בפעילויות שיקומיות. חלקם אף מתגוררים כיום במקום המזכיר להם את הפגיעות. ברי כי קיימים נזקים נוספים הסמויים מן העין נוכח מכלול הקשיים עמם מתמודדים החוסים, ונוכח האמור אף קיים קושי להתמודד עם הטראומה ולעבד אותה באופן הדרוש לשיקום וריפוי.  </w:t>
      </w:r>
    </w:p>
    <w:p w:rsidR="00056731" w:rsidRDefault="00056731" w:rsidP="00056731">
      <w:pPr>
        <w:spacing w:after="0" w:line="240" w:lineRule="auto"/>
        <w:jc w:val="both"/>
        <w:rPr>
          <w:rFonts w:ascii="David" w:hAnsi="David" w:cs="David"/>
          <w:sz w:val="24"/>
          <w:szCs w:val="24"/>
          <w:rtl/>
        </w:rPr>
      </w:pPr>
    </w:p>
    <w:p w:rsidR="000C4D6B" w:rsidRDefault="000C4D6B" w:rsidP="000C4D6B">
      <w:pPr>
        <w:spacing w:after="0" w:line="360" w:lineRule="auto"/>
        <w:jc w:val="both"/>
        <w:rPr>
          <w:rFonts w:ascii="David" w:hAnsi="David" w:cs="David"/>
          <w:sz w:val="24"/>
          <w:szCs w:val="24"/>
          <w:rtl/>
        </w:rPr>
      </w:pPr>
      <w:r w:rsidRPr="00376759">
        <w:rPr>
          <w:rFonts w:ascii="David" w:hAnsi="David" w:cs="David"/>
          <w:sz w:val="24"/>
          <w:szCs w:val="24"/>
          <w:rtl/>
        </w:rPr>
        <w:t>מעשי</w:t>
      </w:r>
      <w:r>
        <w:rPr>
          <w:rFonts w:ascii="David" w:hAnsi="David" w:cs="David" w:hint="cs"/>
          <w:sz w:val="24"/>
          <w:szCs w:val="24"/>
          <w:rtl/>
        </w:rPr>
        <w:t>ו ה</w:t>
      </w:r>
      <w:r w:rsidRPr="00376759">
        <w:rPr>
          <w:rFonts w:ascii="David" w:hAnsi="David" w:cs="David"/>
          <w:sz w:val="24"/>
          <w:szCs w:val="24"/>
          <w:rtl/>
        </w:rPr>
        <w:t xml:space="preserve">נקלים </w:t>
      </w:r>
      <w:r>
        <w:rPr>
          <w:rFonts w:ascii="David" w:hAnsi="David" w:cs="David" w:hint="cs"/>
          <w:sz w:val="24"/>
          <w:szCs w:val="24"/>
          <w:rtl/>
        </w:rPr>
        <w:t xml:space="preserve">של הנאשם </w:t>
      </w:r>
      <w:r w:rsidRPr="00376759">
        <w:rPr>
          <w:rFonts w:ascii="David" w:hAnsi="David" w:cs="David"/>
          <w:sz w:val="24"/>
          <w:szCs w:val="24"/>
          <w:rtl/>
        </w:rPr>
        <w:t xml:space="preserve">פגעו לא רק </w:t>
      </w:r>
      <w:r>
        <w:rPr>
          <w:rFonts w:ascii="David" w:hAnsi="David" w:cs="David" w:hint="cs"/>
          <w:sz w:val="24"/>
          <w:szCs w:val="24"/>
          <w:rtl/>
        </w:rPr>
        <w:t>ב</w:t>
      </w:r>
      <w:r w:rsidRPr="00376759">
        <w:rPr>
          <w:rFonts w:ascii="David" w:hAnsi="David" w:cs="David"/>
          <w:sz w:val="24"/>
          <w:szCs w:val="24"/>
          <w:rtl/>
        </w:rPr>
        <w:t xml:space="preserve">חוסים עצמם, כי אם גם </w:t>
      </w:r>
      <w:r>
        <w:rPr>
          <w:rFonts w:ascii="David" w:hAnsi="David" w:cs="David" w:hint="cs"/>
          <w:sz w:val="24"/>
          <w:szCs w:val="24"/>
          <w:rtl/>
        </w:rPr>
        <w:t>ב</w:t>
      </w:r>
      <w:r w:rsidRPr="00376759">
        <w:rPr>
          <w:rFonts w:ascii="David" w:hAnsi="David" w:cs="David"/>
          <w:sz w:val="24"/>
          <w:szCs w:val="24"/>
          <w:rtl/>
        </w:rPr>
        <w:t>בני משפחותיהם. אלה הפקידו את היקר להם מכל במעון בסברם כי יטופלו היטב ובמסירות, וגילו לתדהמתם כי סבלו סבל קשה מנשוא. מעבר לפגיעה הקשה באמון, ולעצב ולכאב המפלחים שחוו בני המשפחה, הם אף מתמודדים עם רגשות אשמה קשים על שלא הצליחו להיות להם לעזר</w:t>
      </w:r>
      <w:r>
        <w:rPr>
          <w:rFonts w:ascii="David" w:hAnsi="David" w:cs="David" w:hint="cs"/>
          <w:sz w:val="24"/>
          <w:szCs w:val="24"/>
          <w:rtl/>
        </w:rPr>
        <w:t>.</w:t>
      </w:r>
    </w:p>
    <w:p w:rsidR="00056731" w:rsidRDefault="00056731" w:rsidP="00056731">
      <w:pPr>
        <w:spacing w:after="0" w:line="240" w:lineRule="auto"/>
        <w:jc w:val="both"/>
        <w:rPr>
          <w:rFonts w:ascii="David" w:hAnsi="David" w:cs="David"/>
          <w:sz w:val="24"/>
          <w:szCs w:val="24"/>
          <w:rtl/>
        </w:rPr>
      </w:pPr>
    </w:p>
    <w:p w:rsidR="00912333" w:rsidRDefault="000C4D6B" w:rsidP="001F58DA">
      <w:pPr>
        <w:spacing w:after="0" w:line="360" w:lineRule="auto"/>
        <w:rPr>
          <w:rFonts w:ascii="David" w:hAnsi="David" w:cs="David"/>
          <w:sz w:val="24"/>
          <w:szCs w:val="24"/>
          <w:rtl/>
        </w:rPr>
      </w:pPr>
      <w:r w:rsidRPr="00376759">
        <w:rPr>
          <w:rFonts w:ascii="David" w:hAnsi="David" w:cs="David"/>
          <w:sz w:val="24"/>
          <w:szCs w:val="24"/>
          <w:rtl/>
        </w:rPr>
        <w:t>בית המשפט עמד על מגמת ההחמרה בענישה ב</w:t>
      </w:r>
      <w:r>
        <w:rPr>
          <w:rFonts w:ascii="David" w:hAnsi="David" w:cs="David" w:hint="cs"/>
          <w:sz w:val="24"/>
          <w:szCs w:val="24"/>
          <w:rtl/>
        </w:rPr>
        <w:t xml:space="preserve">עבירות בהן הורשע הנאשם </w:t>
      </w:r>
      <w:r w:rsidRPr="00376759">
        <w:rPr>
          <w:rFonts w:ascii="David" w:hAnsi="David" w:cs="David"/>
          <w:sz w:val="24"/>
          <w:szCs w:val="24"/>
          <w:rtl/>
        </w:rPr>
        <w:t xml:space="preserve">נוכח ריבוי הפרשיות ותדירותן והצורך בהרתעה ומיגור תופעה </w:t>
      </w:r>
      <w:r>
        <w:rPr>
          <w:rFonts w:ascii="David" w:hAnsi="David" w:cs="David" w:hint="cs"/>
          <w:sz w:val="24"/>
          <w:szCs w:val="24"/>
          <w:rtl/>
        </w:rPr>
        <w:t>חמורה</w:t>
      </w:r>
      <w:r w:rsidRPr="00376759">
        <w:rPr>
          <w:rFonts w:ascii="David" w:hAnsi="David" w:cs="David"/>
          <w:sz w:val="24"/>
          <w:szCs w:val="24"/>
          <w:rtl/>
        </w:rPr>
        <w:t xml:space="preserve"> זו. </w:t>
      </w:r>
    </w:p>
    <w:p w:rsidR="000C4D6B" w:rsidRPr="00912333" w:rsidRDefault="000C4D6B" w:rsidP="00056731">
      <w:pPr>
        <w:spacing w:after="0" w:line="360" w:lineRule="auto"/>
        <w:jc w:val="both"/>
        <w:rPr>
          <w:rFonts w:ascii="David" w:hAnsi="David" w:cs="David"/>
          <w:sz w:val="24"/>
          <w:szCs w:val="24"/>
        </w:rPr>
      </w:pPr>
      <w:r>
        <w:rPr>
          <w:rFonts w:ascii="David" w:hAnsi="David" w:cs="David" w:hint="cs"/>
          <w:sz w:val="24"/>
          <w:szCs w:val="24"/>
          <w:rtl/>
        </w:rPr>
        <w:t xml:space="preserve">בית המשפט גזר על הנאשם בגדרו של הסדר הטיעון, 14 שנות מאסר בפועל וענישה נלווית. </w:t>
      </w:r>
    </w:p>
    <w:p w:rsidR="005B7202" w:rsidRPr="000C4D6B" w:rsidRDefault="005B7202" w:rsidP="005B7202">
      <w:pPr>
        <w:rPr>
          <w:rFonts w:ascii="David" w:hAnsi="David" w:cs="David"/>
          <w:sz w:val="24"/>
          <w:szCs w:val="24"/>
          <w:rtl/>
        </w:rPr>
      </w:pPr>
    </w:p>
    <w:p w:rsidR="005B7202" w:rsidRPr="00376759" w:rsidRDefault="005B7202" w:rsidP="005B7202">
      <w:pPr>
        <w:spacing w:before="240" w:after="240" w:line="360" w:lineRule="auto"/>
        <w:contextualSpacing/>
        <w:jc w:val="both"/>
        <w:rPr>
          <w:rFonts w:ascii="David" w:hAnsi="David" w:cs="David"/>
          <w:sz w:val="24"/>
          <w:szCs w:val="24"/>
          <w:rtl/>
        </w:rPr>
      </w:pPr>
    </w:p>
    <w:p w:rsidR="005B7202" w:rsidRPr="00376759" w:rsidRDefault="005B7202" w:rsidP="005B7202">
      <w:pPr>
        <w:spacing w:before="240" w:after="240" w:line="360" w:lineRule="auto"/>
        <w:contextualSpacing/>
        <w:jc w:val="both"/>
        <w:rPr>
          <w:rFonts w:ascii="David" w:hAnsi="David" w:cs="David"/>
          <w:sz w:val="24"/>
          <w:szCs w:val="24"/>
        </w:rPr>
      </w:pPr>
      <w:r w:rsidRPr="00376759">
        <w:rPr>
          <w:rFonts w:ascii="David" w:hAnsi="David" w:cs="David"/>
          <w:sz w:val="24"/>
          <w:szCs w:val="24"/>
          <w:rtl/>
        </w:rPr>
        <w:t xml:space="preserve"> </w:t>
      </w:r>
    </w:p>
    <w:p w:rsidR="00541C9E" w:rsidRPr="005B7202" w:rsidRDefault="00541C9E" w:rsidP="00541C9E">
      <w:pPr>
        <w:spacing w:after="120" w:line="360" w:lineRule="auto"/>
        <w:jc w:val="both"/>
        <w:rPr>
          <w:rFonts w:ascii="FrankRuehl" w:hAnsi="FrankRuehl" w:cs="FrankRuehl"/>
          <w:color w:val="323E4F" w:themeColor="text2" w:themeShade="BF"/>
          <w:sz w:val="26"/>
          <w:szCs w:val="26"/>
          <w:rtl/>
        </w:rPr>
      </w:pPr>
    </w:p>
    <w:p w:rsidR="00541C9E" w:rsidRDefault="00541C9E" w:rsidP="00541C9E">
      <w:pPr>
        <w:spacing w:after="120" w:line="360" w:lineRule="auto"/>
        <w:jc w:val="both"/>
        <w:rPr>
          <w:rFonts w:ascii="FrankRuehl" w:hAnsi="FrankRuehl" w:cs="FrankRuehl"/>
          <w:color w:val="323E4F" w:themeColor="text2" w:themeShade="BF"/>
          <w:sz w:val="26"/>
          <w:szCs w:val="26"/>
          <w:rtl/>
        </w:rPr>
      </w:pPr>
    </w:p>
    <w:p w:rsidR="00541C9E" w:rsidRDefault="00541C9E" w:rsidP="00541C9E">
      <w:pPr>
        <w:spacing w:after="120" w:line="360" w:lineRule="auto"/>
        <w:jc w:val="both"/>
        <w:rPr>
          <w:rFonts w:ascii="FrankRuehl" w:hAnsi="FrankRuehl" w:cs="FrankRuehl"/>
          <w:color w:val="323E4F" w:themeColor="text2" w:themeShade="BF"/>
          <w:sz w:val="26"/>
          <w:szCs w:val="26"/>
        </w:rPr>
      </w:pPr>
    </w:p>
    <w:p w:rsidR="00541C9E" w:rsidRDefault="00541C9E" w:rsidP="00541C9E">
      <w:pPr>
        <w:spacing w:after="120" w:line="360" w:lineRule="auto"/>
        <w:jc w:val="both"/>
        <w:rPr>
          <w:rFonts w:ascii="FrankRuehl" w:hAnsi="FrankRuehl" w:cs="FrankRuehl"/>
          <w:color w:val="323E4F" w:themeColor="text2" w:themeShade="BF"/>
          <w:sz w:val="26"/>
          <w:szCs w:val="26"/>
          <w:rtl/>
        </w:rPr>
      </w:pPr>
    </w:p>
    <w:p w:rsidR="00541C9E" w:rsidRPr="000071E5" w:rsidRDefault="00541C9E" w:rsidP="00541C9E">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 xml:space="preserve">התקציר אינו בא </w:t>
      </w:r>
      <w:r w:rsidR="005B7202">
        <w:rPr>
          <w:rFonts w:ascii="FrankRuehl" w:hAnsi="FrankRuehl" w:cs="FrankRuehl"/>
          <w:b/>
          <w:bCs/>
          <w:color w:val="002060"/>
          <w:sz w:val="26"/>
          <w:szCs w:val="26"/>
          <w:rtl/>
        </w:rPr>
        <w:t xml:space="preserve">להחליף את </w:t>
      </w:r>
      <w:r w:rsidR="005B7202">
        <w:rPr>
          <w:rFonts w:ascii="FrankRuehl" w:hAnsi="FrankRuehl" w:cs="FrankRuehl" w:hint="cs"/>
          <w:b/>
          <w:bCs/>
          <w:color w:val="002060"/>
          <w:sz w:val="26"/>
          <w:szCs w:val="26"/>
          <w:rtl/>
        </w:rPr>
        <w:t>גזר</w:t>
      </w:r>
      <w:r w:rsidRPr="000071E5">
        <w:rPr>
          <w:rFonts w:ascii="FrankRuehl" w:hAnsi="FrankRuehl" w:cs="FrankRuehl" w:hint="cs"/>
          <w:b/>
          <w:bCs/>
          <w:color w:val="002060"/>
          <w:sz w:val="26"/>
          <w:szCs w:val="26"/>
          <w:rtl/>
        </w:rPr>
        <w:t>-</w:t>
      </w:r>
      <w:r w:rsidR="005B7202">
        <w:rPr>
          <w:rFonts w:ascii="FrankRuehl" w:hAnsi="FrankRuehl" w:cs="FrankRuehl"/>
          <w:b/>
          <w:bCs/>
          <w:color w:val="002060"/>
          <w:sz w:val="26"/>
          <w:szCs w:val="26"/>
          <w:rtl/>
        </w:rPr>
        <w:t xml:space="preserve">הדין, הנוסח המחייב הוא זה של </w:t>
      </w:r>
      <w:r w:rsidR="005B7202">
        <w:rPr>
          <w:rFonts w:ascii="FrankRuehl" w:hAnsi="FrankRuehl" w:cs="FrankRuehl" w:hint="cs"/>
          <w:b/>
          <w:bCs/>
          <w:color w:val="002060"/>
          <w:sz w:val="26"/>
          <w:szCs w:val="26"/>
          <w:rtl/>
        </w:rPr>
        <w:t>גזר</w:t>
      </w:r>
      <w:r w:rsidRPr="000071E5">
        <w:rPr>
          <w:rFonts w:ascii="FrankRuehl" w:hAnsi="FrankRuehl" w:cs="FrankRuehl"/>
          <w:b/>
          <w:bCs/>
          <w:color w:val="002060"/>
          <w:sz w:val="26"/>
          <w:szCs w:val="26"/>
          <w:rtl/>
        </w:rPr>
        <w:t>-הדין המלא</w:t>
      </w:r>
      <w:r w:rsidRPr="000071E5">
        <w:rPr>
          <w:rFonts w:ascii="FrankRuehl" w:hAnsi="FrankRuehl" w:cs="FrankRuehl" w:hint="cs"/>
          <w:b/>
          <w:bCs/>
          <w:color w:val="002060"/>
          <w:sz w:val="26"/>
          <w:szCs w:val="26"/>
          <w:rtl/>
        </w:rPr>
        <w:t xml:space="preserve"> ***</w:t>
      </w:r>
    </w:p>
    <w:p w:rsidR="00515986" w:rsidRDefault="00515986" w:rsidP="000C4D75">
      <w:pPr>
        <w:tabs>
          <w:tab w:val="num" w:pos="1080"/>
        </w:tabs>
        <w:spacing w:after="0" w:line="276" w:lineRule="auto"/>
        <w:jc w:val="both"/>
        <w:rPr>
          <w:rFonts w:ascii="Arial" w:eastAsia="Times New Roman" w:hAnsi="Arial" w:cs="David"/>
          <w:b/>
          <w:bCs/>
          <w:sz w:val="24"/>
          <w:szCs w:val="24"/>
          <w:rtl/>
        </w:rPr>
      </w:pPr>
    </w:p>
    <w:p w:rsidR="00515986" w:rsidRDefault="00515986" w:rsidP="000C4D75">
      <w:pPr>
        <w:tabs>
          <w:tab w:val="num" w:pos="1080"/>
        </w:tabs>
        <w:spacing w:after="0" w:line="276" w:lineRule="auto"/>
        <w:jc w:val="both"/>
        <w:rPr>
          <w:rFonts w:ascii="Arial" w:eastAsia="Times New Roman" w:hAnsi="Arial" w:cs="David"/>
          <w:b/>
          <w:bCs/>
          <w:sz w:val="24"/>
          <w:szCs w:val="24"/>
          <w:rtl/>
        </w:rPr>
      </w:pPr>
    </w:p>
    <w:p w:rsidR="002453CF" w:rsidRPr="007B7899" w:rsidRDefault="002453CF" w:rsidP="007B7899">
      <w:pPr>
        <w:spacing w:before="100" w:beforeAutospacing="1" w:after="100" w:afterAutospacing="1" w:line="240" w:lineRule="auto"/>
        <w:ind w:left="4320"/>
        <w:jc w:val="both"/>
        <w:rPr>
          <w:rFonts w:ascii="Times New Roman" w:eastAsia="Times New Roman" w:hAnsi="Times New Roman" w:cs="David"/>
          <w:b/>
          <w:bCs/>
          <w:color w:val="002060"/>
          <w:rtl/>
        </w:rPr>
      </w:pPr>
    </w:p>
    <w:sectPr w:rsidR="002453CF" w:rsidRPr="007B7899"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7AA" w:rsidRDefault="000A37AA" w:rsidP="00730CA1">
      <w:pPr>
        <w:spacing w:after="0" w:line="240" w:lineRule="auto"/>
      </w:pPr>
      <w:r>
        <w:separator/>
      </w:r>
    </w:p>
  </w:endnote>
  <w:endnote w:type="continuationSeparator" w:id="0">
    <w:p w:rsidR="000A37AA" w:rsidRDefault="000A37AA"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9E" w:rsidRPr="003C61AF" w:rsidRDefault="00541C9E" w:rsidP="00541C9E">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b/>
        <w:bCs/>
        <w:color w:val="000080"/>
        <w:spacing w:val="6"/>
        <w:sz w:val="24"/>
        <w:szCs w:val="24"/>
        <w:rtl/>
      </w:rPr>
      <w:t>________________________________________________________________</w:t>
    </w:r>
  </w:p>
  <w:p w:rsidR="00541C9E" w:rsidRPr="003C61AF"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Pr>
        <w:rFonts w:ascii="Times New Roman" w:eastAsia="Times New Roman" w:hAnsi="Times New Roman" w:cs="FrankRuehl" w:hint="cs"/>
        <w:b/>
        <w:bCs/>
        <w:color w:val="000080"/>
        <w:spacing w:val="6"/>
        <w:sz w:val="24"/>
        <w:szCs w:val="24"/>
        <w:rtl/>
      </w:rPr>
      <w:t xml:space="preserve">בית משפט העליון | רחוב דרך השופט מאיר שמגר 1 | </w:t>
    </w:r>
    <w:proofErr w:type="spellStart"/>
    <w:r>
      <w:rPr>
        <w:rFonts w:ascii="Times New Roman" w:eastAsia="Times New Roman" w:hAnsi="Times New Roman" w:cs="FrankRuehl" w:hint="cs"/>
        <w:b/>
        <w:bCs/>
        <w:color w:val="000080"/>
        <w:spacing w:val="6"/>
        <w:sz w:val="24"/>
        <w:szCs w:val="24"/>
        <w:rtl/>
      </w:rPr>
      <w:t>קרית</w:t>
    </w:r>
    <w:proofErr w:type="spellEnd"/>
    <w:r>
      <w:rPr>
        <w:rFonts w:ascii="Times New Roman" w:eastAsia="Times New Roman" w:hAnsi="Times New Roman" w:cs="FrankRuehl" w:hint="cs"/>
        <w:b/>
        <w:bCs/>
        <w:color w:val="000080"/>
        <w:spacing w:val="6"/>
        <w:sz w:val="24"/>
        <w:szCs w:val="24"/>
        <w:rtl/>
      </w:rPr>
      <w:t xml:space="preserve"> בן גוריון |</w:t>
    </w:r>
    <w:r w:rsidRPr="003C61AF">
      <w:rPr>
        <w:rFonts w:ascii="Times New Roman" w:eastAsia="Times New Roman" w:hAnsi="Times New Roman" w:cs="FrankRuehl" w:hint="cs"/>
        <w:b/>
        <w:bCs/>
        <w:color w:val="000080"/>
        <w:spacing w:val="6"/>
        <w:sz w:val="24"/>
        <w:szCs w:val="24"/>
        <w:rtl/>
      </w:rPr>
      <w:t xml:space="preserve"> ירושלים</w:t>
    </w:r>
  </w:p>
  <w:p w:rsidR="003C61AF" w:rsidRPr="00541C9E"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3C61AF">
      <w:rPr>
        <w:rFonts w:ascii="Times New Roman" w:eastAsia="Times New Roman" w:hAnsi="Times New Roman" w:cs="FrankRuehl" w:hint="cs"/>
        <w:b/>
        <w:bCs/>
        <w:color w:val="000080"/>
        <w:spacing w:val="6"/>
        <w:sz w:val="24"/>
        <w:szCs w:val="24"/>
        <w:rtl/>
      </w:rPr>
      <w:t xml:space="preserve">טל: </w:t>
    </w:r>
    <w:r w:rsidRPr="003C61AF">
      <w:rPr>
        <w:rFonts w:ascii="Times New Roman" w:eastAsia="Times New Roman" w:hAnsi="Times New Roman" w:cs="FrankRuehl"/>
        <w:b/>
        <w:bCs/>
        <w:color w:val="000080"/>
        <w:spacing w:val="6"/>
        <w:sz w:val="24"/>
        <w:szCs w:val="24"/>
      </w:rPr>
      <w:t>074-7480412</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דוא"ל</w:t>
    </w:r>
    <w:r w:rsidRPr="003C61AF">
      <w:rPr>
        <w:rFonts w:ascii="Times New Roman" w:eastAsia="Times New Roman" w:hAnsi="Times New Roman" w:cs="FrankRuehl"/>
        <w:b/>
        <w:bCs/>
        <w:color w:val="000080"/>
        <w:spacing w:val="6"/>
        <w:sz w:val="24"/>
        <w:szCs w:val="24"/>
      </w:rPr>
      <w:t>:</w:t>
    </w:r>
    <w:r w:rsidRPr="003C61AF">
      <w:rPr>
        <w:rFonts w:ascii="Times New Roman" w:eastAsia="Times New Roman" w:hAnsi="Times New Roman" w:cs="FrankRuehl" w:hint="cs"/>
        <w:b/>
        <w:bCs/>
        <w:color w:val="000080"/>
        <w:spacing w:val="6"/>
        <w:sz w:val="24"/>
        <w:szCs w:val="24"/>
        <w:rtl/>
      </w:rPr>
      <w:t xml:space="preserve">  </w:t>
    </w:r>
    <w:hyperlink r:id="rId1" w:history="1">
      <w:r w:rsidRPr="003C61AF">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7AA" w:rsidRDefault="000A37AA" w:rsidP="00730CA1">
      <w:pPr>
        <w:spacing w:after="0" w:line="240" w:lineRule="auto"/>
      </w:pPr>
      <w:r>
        <w:separator/>
      </w:r>
    </w:p>
  </w:footnote>
  <w:footnote w:type="continuationSeparator" w:id="0">
    <w:p w:rsidR="000A37AA" w:rsidRDefault="000A37AA"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56731"/>
    <w:rsid w:val="000A37AA"/>
    <w:rsid w:val="000C4D6B"/>
    <w:rsid w:val="000C4D75"/>
    <w:rsid w:val="001D42A7"/>
    <w:rsid w:val="001F58DA"/>
    <w:rsid w:val="002453CF"/>
    <w:rsid w:val="002C0E83"/>
    <w:rsid w:val="003921C3"/>
    <w:rsid w:val="003C61AF"/>
    <w:rsid w:val="003E6D65"/>
    <w:rsid w:val="003E6E39"/>
    <w:rsid w:val="003E7EB7"/>
    <w:rsid w:val="00426AA7"/>
    <w:rsid w:val="00515986"/>
    <w:rsid w:val="00523766"/>
    <w:rsid w:val="005253B2"/>
    <w:rsid w:val="00541C9E"/>
    <w:rsid w:val="005B7202"/>
    <w:rsid w:val="00631744"/>
    <w:rsid w:val="00690B6F"/>
    <w:rsid w:val="006B7B96"/>
    <w:rsid w:val="006C3B1F"/>
    <w:rsid w:val="006F1E1F"/>
    <w:rsid w:val="007007D7"/>
    <w:rsid w:val="00711675"/>
    <w:rsid w:val="00730CA1"/>
    <w:rsid w:val="007B7899"/>
    <w:rsid w:val="00832AD7"/>
    <w:rsid w:val="008C02E0"/>
    <w:rsid w:val="00912333"/>
    <w:rsid w:val="00983123"/>
    <w:rsid w:val="009A2085"/>
    <w:rsid w:val="009E5C0E"/>
    <w:rsid w:val="00AD7644"/>
    <w:rsid w:val="00B16422"/>
    <w:rsid w:val="00B22AFC"/>
    <w:rsid w:val="00BA3143"/>
    <w:rsid w:val="00C22E08"/>
    <w:rsid w:val="00C37F37"/>
    <w:rsid w:val="00C50C55"/>
    <w:rsid w:val="00C529CC"/>
    <w:rsid w:val="00C842A7"/>
    <w:rsid w:val="00C85A27"/>
    <w:rsid w:val="00CA2D6A"/>
    <w:rsid w:val="00CB4940"/>
    <w:rsid w:val="00CD280B"/>
    <w:rsid w:val="00D11F77"/>
    <w:rsid w:val="00D205AB"/>
    <w:rsid w:val="00D43C0E"/>
    <w:rsid w:val="00D5319F"/>
    <w:rsid w:val="00E35DF3"/>
    <w:rsid w:val="00EB6609"/>
    <w:rsid w:val="00F3523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 w:type="character" w:customStyle="1" w:styleId="default">
    <w:name w:val="default"/>
    <w:basedOn w:val="a0"/>
    <w:rsid w:val="000C4D6B"/>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C4F31F6F-AFE3-4AA9-B0A8-BB24EF98364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558</Words>
  <Characters>2791</Characters>
  <Application>Microsoft Office Word</Application>
  <DocSecurity>0</DocSecurity>
  <Lines>23</Lines>
  <Paragraphs>6</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אסתר טטרואשילי</cp:lastModifiedBy>
  <cp:revision>2</cp:revision>
  <cp:lastPrinted>2024-06-19T11:31:00Z</cp:lastPrinted>
  <dcterms:created xsi:type="dcterms:W3CDTF">2024-06-24T07:12:00Z</dcterms:created>
  <dcterms:modified xsi:type="dcterms:W3CDTF">2024-06-24T07:12:00Z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19 ביוני 2024</vt:lpwstr>
  </property>
  <property fmtid="{D5CDD505-2E9C-101B-9397-08002B2CF9AE}" pid="3" name="DocDateHeb">
    <vt:lpwstr>י"ג בסיוון תשפ"ד</vt:lpwstr>
  </property>
  <property fmtid="{D5CDD505-2E9C-101B-9397-08002B2CF9AE}" pid="4" name="DocNumber">
    <vt:lpwstr>4700-1039-2024-004151</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גזר דין ת"פ 20116-02-22</vt:lpwstr>
  </property>
</Properties>
</file>